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5B7606">
        <w:rPr>
          <w:rFonts w:ascii="Times New Roman" w:hAnsi="Times New Roman" w:cs="Times New Roman"/>
          <w:b w:val="0"/>
          <w:sz w:val="28"/>
          <w:szCs w:val="28"/>
        </w:rPr>
        <w:t>6</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132E49">
        <w:rPr>
          <w:sz w:val="28"/>
          <w:szCs w:val="28"/>
        </w:rPr>
        <w:t>05.07.2018</w:t>
      </w:r>
      <w:r w:rsidRPr="007F2A0B">
        <w:rPr>
          <w:sz w:val="28"/>
          <w:szCs w:val="28"/>
        </w:rPr>
        <w:t xml:space="preserve"> № </w:t>
      </w:r>
      <w:r w:rsidR="00132E49">
        <w:rPr>
          <w:sz w:val="28"/>
          <w:szCs w:val="28"/>
        </w:rPr>
        <w:t>25-о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00582798">
        <w:rPr>
          <w:rFonts w:ascii="Times New Roman" w:hAnsi="Times New Roman" w:cs="Times New Roman"/>
          <w:b w:val="0"/>
          <w:sz w:val="28"/>
          <w:szCs w:val="28"/>
        </w:rPr>
        <w:t xml:space="preserve">№ </w:t>
      </w:r>
      <w:r w:rsidR="005B7606">
        <w:rPr>
          <w:rFonts w:ascii="Times New Roman" w:hAnsi="Times New Roman" w:cs="Times New Roman"/>
          <w:b w:val="0"/>
          <w:sz w:val="28"/>
          <w:szCs w:val="28"/>
        </w:rPr>
        <w:t>65</w:t>
      </w:r>
      <w:r w:rsidR="00582798">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w:t>
      </w:r>
      <w:proofErr w:type="gramStart"/>
      <w:r w:rsidR="005B7606">
        <w:rPr>
          <w:rFonts w:ascii="Times New Roman" w:hAnsi="Times New Roman" w:cs="Times New Roman"/>
          <w:b w:val="0"/>
          <w:sz w:val="28"/>
          <w:szCs w:val="28"/>
        </w:rPr>
        <w:t>Высотной</w:t>
      </w:r>
      <w:proofErr w:type="gramEnd"/>
      <w:r w:rsidR="00582798">
        <w:rPr>
          <w:rFonts w:ascii="Times New Roman" w:hAnsi="Times New Roman" w:cs="Times New Roman"/>
          <w:b w:val="0"/>
          <w:sz w:val="28"/>
          <w:szCs w:val="28"/>
        </w:rPr>
        <w:t xml:space="preserve">, д. </w:t>
      </w:r>
      <w:r w:rsidR="005B7606">
        <w:rPr>
          <w:rFonts w:ascii="Times New Roman" w:hAnsi="Times New Roman" w:cs="Times New Roman"/>
          <w:b w:val="0"/>
          <w:sz w:val="28"/>
          <w:szCs w:val="28"/>
        </w:rPr>
        <w:t>23</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582798">
        <w:rPr>
          <w:rFonts w:cs="Times New Roman"/>
          <w:sz w:val="28"/>
          <w:szCs w:val="28"/>
        </w:rPr>
        <w:t>распоряжение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w:t>
      </w:r>
      <w:r w:rsidR="00582798">
        <w:rPr>
          <w:rFonts w:cs="Times New Roman"/>
          <w:sz w:val="28"/>
          <w:szCs w:val="28"/>
        </w:rPr>
        <w:t>5</w:t>
      </w:r>
      <w:r w:rsidR="00DD225E">
        <w:rPr>
          <w:rFonts w:cs="Times New Roman"/>
          <w:sz w:val="28"/>
          <w:szCs w:val="28"/>
        </w:rPr>
        <w:t>.06.2017</w:t>
      </w:r>
      <w:r w:rsidR="009C6A7F" w:rsidRPr="005E35D7">
        <w:rPr>
          <w:rFonts w:cs="Times New Roman"/>
          <w:sz w:val="28"/>
          <w:szCs w:val="28"/>
        </w:rPr>
        <w:t xml:space="preserve"> № </w:t>
      </w:r>
      <w:r w:rsidR="00582798">
        <w:rPr>
          <w:rFonts w:cs="Times New Roman"/>
          <w:sz w:val="28"/>
          <w:szCs w:val="28"/>
        </w:rPr>
        <w:t>271</w:t>
      </w:r>
      <w:r w:rsidR="005B7606">
        <w:rPr>
          <w:rFonts w:cs="Times New Roman"/>
          <w:sz w:val="28"/>
          <w:szCs w:val="28"/>
        </w:rPr>
        <w:t>2</w:t>
      </w:r>
      <w:r w:rsidR="00582798">
        <w:rPr>
          <w:rFonts w:cs="Times New Roman"/>
          <w:sz w:val="28"/>
          <w:szCs w:val="28"/>
        </w:rPr>
        <w:t>-недв</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A95CED">
        <w:rPr>
          <w:rFonts w:cs="Times New Roman"/>
          <w:sz w:val="28"/>
          <w:szCs w:val="28"/>
        </w:rPr>
        <w:t xml:space="preserve"> </w:t>
      </w:r>
      <w:r w:rsidR="00582798">
        <w:rPr>
          <w:rFonts w:cs="Times New Roman"/>
          <w:sz w:val="28"/>
          <w:szCs w:val="28"/>
        </w:rPr>
        <w:t xml:space="preserve">№ </w:t>
      </w:r>
      <w:r w:rsidR="005B7606">
        <w:rPr>
          <w:rFonts w:cs="Times New Roman"/>
          <w:sz w:val="28"/>
          <w:szCs w:val="28"/>
        </w:rPr>
        <w:t>65</w:t>
      </w:r>
      <w:r w:rsidR="00582798">
        <w:rPr>
          <w:rFonts w:cs="Times New Roman"/>
          <w:sz w:val="28"/>
          <w:szCs w:val="28"/>
        </w:rPr>
        <w:t xml:space="preserve"> </w:t>
      </w:r>
      <w:r w:rsidR="009C6A7F" w:rsidRPr="00642F91">
        <w:rPr>
          <w:rFonts w:cs="Times New Roman"/>
          <w:sz w:val="28"/>
          <w:szCs w:val="28"/>
        </w:rPr>
        <w:t xml:space="preserve">по </w:t>
      </w:r>
      <w:r w:rsidR="00DD225E">
        <w:rPr>
          <w:rFonts w:cs="Times New Roman"/>
          <w:sz w:val="28"/>
          <w:szCs w:val="28"/>
        </w:rPr>
        <w:t xml:space="preserve">ул. </w:t>
      </w:r>
      <w:r w:rsidR="005B7606">
        <w:rPr>
          <w:rFonts w:cs="Times New Roman"/>
          <w:sz w:val="28"/>
          <w:szCs w:val="28"/>
        </w:rPr>
        <w:t>Высотной</w:t>
      </w:r>
      <w:r w:rsidR="00DD225E">
        <w:rPr>
          <w:rFonts w:cs="Times New Roman"/>
          <w:sz w:val="28"/>
          <w:szCs w:val="28"/>
        </w:rPr>
        <w:t xml:space="preserve">, д. </w:t>
      </w:r>
      <w:r w:rsidR="005B7606">
        <w:rPr>
          <w:rFonts w:cs="Times New Roman"/>
          <w:sz w:val="28"/>
          <w:szCs w:val="28"/>
        </w:rPr>
        <w:t>23</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5B7606" w:rsidRPr="007F2A0B" w:rsidRDefault="005B7606" w:rsidP="005B7606">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65 </w:t>
      </w:r>
      <w:r w:rsidRPr="007F2A0B">
        <w:rPr>
          <w:rFonts w:cs="Times New Roman"/>
          <w:sz w:val="28"/>
          <w:szCs w:val="28"/>
        </w:rPr>
        <w:t xml:space="preserve">общей площадью </w:t>
      </w:r>
      <w:r>
        <w:rPr>
          <w:rFonts w:cs="Times New Roman"/>
          <w:sz w:val="28"/>
          <w:szCs w:val="28"/>
        </w:rPr>
        <w:t xml:space="preserve">85,10 </w:t>
      </w:r>
      <w:r w:rsidRPr="007F2A0B">
        <w:rPr>
          <w:rFonts w:cs="Times New Roman"/>
          <w:sz w:val="28"/>
          <w:szCs w:val="28"/>
        </w:rPr>
        <w:t>кв. м, расположе</w:t>
      </w:r>
      <w:r w:rsidRPr="007F2A0B">
        <w:rPr>
          <w:rFonts w:cs="Times New Roman"/>
          <w:sz w:val="28"/>
          <w:szCs w:val="28"/>
        </w:rPr>
        <w:t>н</w:t>
      </w:r>
      <w:r w:rsidRPr="007F2A0B">
        <w:rPr>
          <w:rFonts w:cs="Times New Roman"/>
          <w:sz w:val="28"/>
          <w:szCs w:val="28"/>
        </w:rPr>
        <w:t xml:space="preserve">ное по адресу: г. Красноярск, </w:t>
      </w:r>
      <w:r>
        <w:rPr>
          <w:rFonts w:cs="Times New Roman"/>
          <w:sz w:val="28"/>
          <w:szCs w:val="28"/>
        </w:rPr>
        <w:t xml:space="preserve">ул. </w:t>
      </w:r>
      <w:proofErr w:type="gramStart"/>
      <w:r>
        <w:rPr>
          <w:rFonts w:cs="Times New Roman"/>
          <w:sz w:val="28"/>
          <w:szCs w:val="28"/>
        </w:rPr>
        <w:t>Высотная</w:t>
      </w:r>
      <w:proofErr w:type="gramEnd"/>
      <w:r w:rsidRPr="00163F6B">
        <w:rPr>
          <w:rFonts w:cs="Times New Roman"/>
          <w:sz w:val="28"/>
          <w:szCs w:val="28"/>
        </w:rPr>
        <w:t>, д. 23</w:t>
      </w:r>
      <w:r w:rsidRPr="00FC0585">
        <w:rPr>
          <w:rFonts w:cs="Times New Roman"/>
          <w:sz w:val="28"/>
          <w:szCs w:val="28"/>
        </w:rPr>
        <w:t>.</w:t>
      </w:r>
    </w:p>
    <w:p w:rsidR="005B7606" w:rsidRPr="00D64652" w:rsidRDefault="005B7606" w:rsidP="005B7606">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 xml:space="preserve">в подвале пятиэтажного жилого дома </w:t>
      </w:r>
      <w:r w:rsidRPr="00D64652">
        <w:rPr>
          <w:rFonts w:ascii="Times New Roman" w:hAnsi="Times New Roman" w:cs="Times New Roman"/>
          <w:b w:val="0"/>
          <w:sz w:val="28"/>
          <w:szCs w:val="28"/>
        </w:rPr>
        <w:t>19</w:t>
      </w:r>
      <w:r>
        <w:rPr>
          <w:rFonts w:ascii="Times New Roman" w:hAnsi="Times New Roman" w:cs="Times New Roman"/>
          <w:b w:val="0"/>
          <w:sz w:val="28"/>
          <w:szCs w:val="28"/>
        </w:rPr>
        <w:t>65</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Отдельный вход в помещение</w:t>
      </w:r>
      <w:r w:rsidRPr="00124D7D">
        <w:rPr>
          <w:rFonts w:ascii="Times New Roman" w:hAnsi="Times New Roman" w:cs="Times New Roman"/>
          <w:b w:val="0"/>
          <w:sz w:val="28"/>
          <w:szCs w:val="28"/>
        </w:rPr>
        <w:t xml:space="preserve"> </w:t>
      </w:r>
      <w:r>
        <w:rPr>
          <w:rFonts w:ascii="Times New Roman" w:hAnsi="Times New Roman" w:cs="Times New Roman"/>
          <w:b w:val="0"/>
          <w:sz w:val="28"/>
          <w:szCs w:val="28"/>
        </w:rPr>
        <w:t>отсутствует</w:t>
      </w:r>
      <w:r w:rsidRPr="00D64652">
        <w:rPr>
          <w:rFonts w:ascii="Times New Roman" w:hAnsi="Times New Roman" w:cs="Times New Roman"/>
          <w:b w:val="0"/>
          <w:sz w:val="28"/>
          <w:szCs w:val="28"/>
        </w:rPr>
        <w:t>.</w:t>
      </w:r>
    </w:p>
    <w:p w:rsidR="005B7606" w:rsidRPr="00766299" w:rsidRDefault="005B7606" w:rsidP="005B7606">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5B7606" w:rsidRPr="007F2A0B" w:rsidRDefault="005B7606" w:rsidP="005B7606">
      <w:pPr>
        <w:ind w:firstLine="851"/>
        <w:jc w:val="both"/>
        <w:rPr>
          <w:sz w:val="28"/>
          <w:szCs w:val="28"/>
        </w:rPr>
      </w:pPr>
      <w:r w:rsidRPr="007F2A0B">
        <w:rPr>
          <w:sz w:val="28"/>
          <w:szCs w:val="28"/>
        </w:rPr>
        <w:t>Тип имущества – нежилое помещение.</w:t>
      </w:r>
    </w:p>
    <w:p w:rsidR="008D7826" w:rsidRPr="008D7826" w:rsidRDefault="005B7606" w:rsidP="005B7606">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132E49">
        <w:rPr>
          <w:rFonts w:cs="Times New Roman"/>
          <w:sz w:val="28"/>
          <w:szCs w:val="28"/>
        </w:rPr>
        <w:t>14 августа</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101E1E">
        <w:rPr>
          <w:rFonts w:cs="Times New Roman"/>
          <w:sz w:val="28"/>
          <w:szCs w:val="28"/>
        </w:rPr>
        <w:t>с</w:t>
      </w:r>
      <w:bookmarkStart w:id="0" w:name="_GoBack"/>
      <w:bookmarkEnd w:id="0"/>
      <w:r>
        <w:rPr>
          <w:rFonts w:cs="Times New Roman"/>
          <w:sz w:val="28"/>
          <w:szCs w:val="28"/>
        </w:rPr>
        <w:t xml:space="preserve"> </w:t>
      </w:r>
      <w:r w:rsidR="00132E49">
        <w:rPr>
          <w:rFonts w:cs="Times New Roman"/>
          <w:sz w:val="28"/>
          <w:szCs w:val="28"/>
        </w:rPr>
        <w:t>14</w:t>
      </w:r>
      <w:r>
        <w:rPr>
          <w:rFonts w:cs="Times New Roman"/>
          <w:sz w:val="28"/>
          <w:szCs w:val="28"/>
        </w:rPr>
        <w:t xml:space="preserve"> часов </w:t>
      </w:r>
      <w:r w:rsidR="00132E49">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5B7606">
        <w:rPr>
          <w:rFonts w:ascii="Times New Roman" w:hAnsi="Times New Roman" w:cs="Times New Roman"/>
          <w:b w:val="0"/>
          <w:sz w:val="28"/>
          <w:szCs w:val="28"/>
        </w:rPr>
        <w:t>1 520</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5B7606">
        <w:rPr>
          <w:rFonts w:ascii="Times New Roman" w:hAnsi="Times New Roman" w:cs="Times New Roman"/>
          <w:b w:val="0"/>
          <w:sz w:val="28"/>
          <w:szCs w:val="28"/>
        </w:rPr>
        <w:t>один миллион пятьсот двадцать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5B7606">
        <w:rPr>
          <w:rFonts w:ascii="Times New Roman" w:hAnsi="Times New Roman" w:cs="Times New Roman"/>
          <w:b w:val="0"/>
          <w:sz w:val="28"/>
          <w:szCs w:val="28"/>
        </w:rPr>
        <w:t>760</w:t>
      </w:r>
      <w:r w:rsidR="008217C4">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5B7606">
        <w:rPr>
          <w:rFonts w:ascii="Times New Roman" w:hAnsi="Times New Roman" w:cs="Times New Roman"/>
          <w:b w:val="0"/>
          <w:sz w:val="28"/>
          <w:szCs w:val="28"/>
        </w:rPr>
        <w:t>семьсот шест</w:t>
      </w:r>
      <w:r w:rsidR="005B7606">
        <w:rPr>
          <w:rFonts w:ascii="Times New Roman" w:hAnsi="Times New Roman" w:cs="Times New Roman"/>
          <w:b w:val="0"/>
          <w:sz w:val="28"/>
          <w:szCs w:val="28"/>
        </w:rPr>
        <w:t>ь</w:t>
      </w:r>
      <w:r w:rsidR="005B7606">
        <w:rPr>
          <w:rFonts w:ascii="Times New Roman" w:hAnsi="Times New Roman" w:cs="Times New Roman"/>
          <w:b w:val="0"/>
          <w:sz w:val="28"/>
          <w:szCs w:val="28"/>
        </w:rPr>
        <w:t>десят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5B7606">
        <w:rPr>
          <w:rFonts w:ascii="Times New Roman" w:hAnsi="Times New Roman" w:cs="Times New Roman"/>
          <w:b w:val="0"/>
          <w:sz w:val="28"/>
          <w:szCs w:val="28"/>
        </w:rPr>
        <w:t>152 000</w:t>
      </w:r>
      <w:r w:rsidRPr="00642F91">
        <w:rPr>
          <w:rFonts w:ascii="Times New Roman" w:hAnsi="Times New Roman" w:cs="Times New Roman"/>
          <w:b w:val="0"/>
          <w:sz w:val="28"/>
          <w:szCs w:val="28"/>
        </w:rPr>
        <w:t xml:space="preserve"> (</w:t>
      </w:r>
      <w:r w:rsidR="005B7606">
        <w:rPr>
          <w:rFonts w:ascii="Times New Roman" w:hAnsi="Times New Roman" w:cs="Times New Roman"/>
          <w:b w:val="0"/>
          <w:sz w:val="28"/>
          <w:szCs w:val="28"/>
        </w:rPr>
        <w:t>сто пятьд</w:t>
      </w:r>
      <w:r w:rsidR="005B7606">
        <w:rPr>
          <w:rFonts w:ascii="Times New Roman" w:hAnsi="Times New Roman" w:cs="Times New Roman"/>
          <w:b w:val="0"/>
          <w:sz w:val="28"/>
          <w:szCs w:val="28"/>
        </w:rPr>
        <w:t>е</w:t>
      </w:r>
      <w:r w:rsidR="005B7606">
        <w:rPr>
          <w:rFonts w:ascii="Times New Roman" w:hAnsi="Times New Roman" w:cs="Times New Roman"/>
          <w:b w:val="0"/>
          <w:sz w:val="28"/>
          <w:szCs w:val="28"/>
        </w:rPr>
        <w:t>сят две тысячи</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5B7606">
        <w:rPr>
          <w:rFonts w:ascii="Times New Roman" w:hAnsi="Times New Roman" w:cs="Times New Roman"/>
          <w:b w:val="0"/>
          <w:sz w:val="28"/>
          <w:szCs w:val="28"/>
        </w:rPr>
        <w:t>76 000</w:t>
      </w:r>
      <w:r>
        <w:rPr>
          <w:rFonts w:ascii="Times New Roman" w:hAnsi="Times New Roman" w:cs="Times New Roman"/>
          <w:b w:val="0"/>
          <w:sz w:val="28"/>
          <w:szCs w:val="28"/>
        </w:rPr>
        <w:t xml:space="preserve"> (</w:t>
      </w:r>
      <w:r w:rsidR="005B7606">
        <w:rPr>
          <w:rFonts w:ascii="Times New Roman" w:hAnsi="Times New Roman" w:cs="Times New Roman"/>
          <w:b w:val="0"/>
          <w:sz w:val="28"/>
          <w:szCs w:val="28"/>
        </w:rPr>
        <w:t>семьдесят шесть тысяч</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5B7606">
        <w:rPr>
          <w:rFonts w:ascii="Times New Roman" w:hAnsi="Times New Roman" w:cs="Times New Roman"/>
          <w:b w:val="0"/>
          <w:sz w:val="28"/>
          <w:szCs w:val="28"/>
        </w:rPr>
        <w:t>304 000</w:t>
      </w:r>
      <w:r w:rsidR="005B7606" w:rsidRPr="00642F91">
        <w:rPr>
          <w:rFonts w:ascii="Times New Roman" w:hAnsi="Times New Roman" w:cs="Times New Roman"/>
          <w:b w:val="0"/>
          <w:sz w:val="28"/>
          <w:szCs w:val="28"/>
        </w:rPr>
        <w:t xml:space="preserve"> (</w:t>
      </w:r>
      <w:r w:rsidR="005B7606">
        <w:rPr>
          <w:rFonts w:ascii="Times New Roman" w:hAnsi="Times New Roman" w:cs="Times New Roman"/>
          <w:b w:val="0"/>
          <w:sz w:val="28"/>
          <w:szCs w:val="28"/>
        </w:rPr>
        <w:t>триста четыре тысячи</w:t>
      </w:r>
      <w:r w:rsidR="005B7606"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с</w:t>
      </w:r>
      <w:r w:rsidR="00BB5B2C" w:rsidRPr="007F21E4">
        <w:rPr>
          <w:rFonts w:ascii="Times New Roman" w:hAnsi="Times New Roman" w:cs="Times New Roman"/>
          <w:b w:val="0"/>
          <w:sz w:val="28"/>
          <w:szCs w:val="28"/>
        </w:rPr>
        <w:t>о</w:t>
      </w:r>
      <w:r w:rsidR="00BB5B2C" w:rsidRPr="007F21E4">
        <w:rPr>
          <w:rFonts w:ascii="Times New Roman" w:hAnsi="Times New Roman" w:cs="Times New Roman"/>
          <w:b w:val="0"/>
          <w:sz w:val="28"/>
          <w:szCs w:val="28"/>
        </w:rPr>
        <w:t xml:space="preserve">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132E49">
        <w:rPr>
          <w:rFonts w:ascii="Times New Roman" w:hAnsi="Times New Roman" w:cs="Times New Roman"/>
          <w:b w:val="0"/>
          <w:sz w:val="28"/>
          <w:szCs w:val="28"/>
        </w:rPr>
        <w:t>9 июля</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132E49">
        <w:rPr>
          <w:rFonts w:ascii="Times New Roman" w:hAnsi="Times New Roman" w:cs="Times New Roman"/>
          <w:b w:val="0"/>
          <w:sz w:val="28"/>
          <w:szCs w:val="28"/>
        </w:rPr>
        <w:t>3 августа</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Pr>
          <w:rFonts w:ascii="Times New Roman" w:hAnsi="Times New Roman" w:cs="Times New Roman"/>
          <w:b w:val="0"/>
          <w:sz w:val="28"/>
          <w:szCs w:val="28"/>
        </w:rPr>
        <w:t xml:space="preserve"> № </w:t>
      </w:r>
      <w:r w:rsidR="005B7606">
        <w:rPr>
          <w:rFonts w:ascii="Times New Roman" w:hAnsi="Times New Roman" w:cs="Times New Roman"/>
          <w:b w:val="0"/>
          <w:sz w:val="28"/>
          <w:szCs w:val="28"/>
        </w:rPr>
        <w:t>65</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5B7606">
        <w:rPr>
          <w:rFonts w:ascii="Times New Roman" w:hAnsi="Times New Roman" w:cs="Times New Roman"/>
          <w:b w:val="0"/>
          <w:sz w:val="28"/>
          <w:szCs w:val="28"/>
        </w:rPr>
        <w:t>Высотной</w:t>
      </w:r>
      <w:r w:rsidRPr="00642F91">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5B7606">
        <w:rPr>
          <w:rFonts w:ascii="Times New Roman" w:hAnsi="Times New Roman" w:cs="Times New Roman"/>
          <w:b w:val="0"/>
          <w:sz w:val="28"/>
          <w:szCs w:val="28"/>
        </w:rPr>
        <w:t>23</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 xml:space="preserve">на обед с </w:t>
      </w:r>
      <w:r w:rsidR="0046080A">
        <w:rPr>
          <w:rFonts w:cs="Times New Roman"/>
          <w:bCs/>
          <w:sz w:val="28"/>
          <w:szCs w:val="28"/>
        </w:rPr>
        <w:lastRenderedPageBreak/>
        <w:t>13.00 до 14.00 часов)</w:t>
      </w:r>
      <w:r w:rsidR="002475CC">
        <w:rPr>
          <w:rFonts w:cs="Times New Roman"/>
          <w:bCs/>
          <w:sz w:val="28"/>
          <w:szCs w:val="28"/>
        </w:rPr>
        <w:t xml:space="preserve"> </w:t>
      </w:r>
      <w:r w:rsidRPr="00ED3863">
        <w:rPr>
          <w:rFonts w:cs="Times New Roman"/>
          <w:bCs/>
          <w:sz w:val="28"/>
          <w:szCs w:val="28"/>
        </w:rPr>
        <w:t xml:space="preserve">с </w:t>
      </w:r>
      <w:r w:rsidR="00132E49">
        <w:rPr>
          <w:rFonts w:cs="Times New Roman"/>
          <w:bCs/>
          <w:sz w:val="28"/>
          <w:szCs w:val="28"/>
        </w:rPr>
        <w:t>9 июля</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132E49">
        <w:rPr>
          <w:rFonts w:cs="Times New Roman"/>
          <w:bCs/>
          <w:sz w:val="28"/>
          <w:szCs w:val="28"/>
        </w:rPr>
        <w:t>3 августа</w:t>
      </w:r>
      <w:r w:rsidR="006C33B0">
        <w:rPr>
          <w:rFonts w:cs="Times New Roman"/>
          <w:bCs/>
          <w:sz w:val="28"/>
          <w:szCs w:val="28"/>
        </w:rPr>
        <w:t xml:space="preserve"> 2018</w:t>
      </w:r>
      <w:r w:rsidRPr="00ED3863">
        <w:rPr>
          <w:rFonts w:cs="Times New Roman"/>
          <w:bCs/>
          <w:sz w:val="28"/>
          <w:szCs w:val="28"/>
        </w:rPr>
        <w:t xml:space="preserve"> года в </w:t>
      </w:r>
      <w:r w:rsidR="00132E49">
        <w:rPr>
          <w:rFonts w:cs="Times New Roman"/>
          <w:bCs/>
          <w:sz w:val="28"/>
          <w:szCs w:val="28"/>
        </w:rPr>
        <w:t>10:00</w:t>
      </w:r>
      <w:r w:rsidRPr="00ED3863">
        <w:rPr>
          <w:rFonts w:cs="Times New Roman"/>
          <w:bCs/>
          <w:sz w:val="28"/>
          <w:szCs w:val="28"/>
        </w:rPr>
        <w:t xml:space="preserve"> час</w:t>
      </w:r>
      <w:r w:rsidR="00132E49">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132E49">
        <w:rPr>
          <w:rFonts w:cs="Times New Roman"/>
          <w:bCs/>
          <w:sz w:val="28"/>
          <w:szCs w:val="28"/>
        </w:rPr>
        <w:t>9 августа</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w:t>
      </w:r>
      <w:r>
        <w:rPr>
          <w:rFonts w:cs="Times New Roman"/>
          <w:sz w:val="28"/>
          <w:szCs w:val="28"/>
        </w:rPr>
        <w:lastRenderedPageBreak/>
        <w:t>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132E49">
        <w:rPr>
          <w:rFonts w:cs="Times New Roman"/>
          <w:bCs/>
          <w:sz w:val="28"/>
          <w:szCs w:val="28"/>
        </w:rPr>
        <w:t>9 июля</w:t>
      </w:r>
      <w:r>
        <w:rPr>
          <w:rFonts w:cs="Times New Roman"/>
          <w:bCs/>
          <w:sz w:val="28"/>
          <w:szCs w:val="28"/>
        </w:rPr>
        <w:t xml:space="preserve"> 201</w:t>
      </w:r>
      <w:r w:rsidR="006C33B0">
        <w:rPr>
          <w:rFonts w:cs="Times New Roman"/>
          <w:bCs/>
          <w:sz w:val="28"/>
          <w:szCs w:val="28"/>
        </w:rPr>
        <w:t>8</w:t>
      </w:r>
      <w:r>
        <w:rPr>
          <w:rFonts w:cs="Times New Roman"/>
          <w:bCs/>
          <w:sz w:val="28"/>
          <w:szCs w:val="28"/>
        </w:rPr>
        <w:t xml:space="preserve"> года по </w:t>
      </w:r>
      <w:r w:rsidR="00132E49">
        <w:rPr>
          <w:rFonts w:cs="Times New Roman"/>
          <w:bCs/>
          <w:sz w:val="28"/>
          <w:szCs w:val="28"/>
        </w:rPr>
        <w:t>3 августа</w:t>
      </w:r>
      <w:r w:rsidR="00DB15D3">
        <w:rPr>
          <w:rFonts w:cs="Times New Roman"/>
          <w:bCs/>
          <w:sz w:val="28"/>
          <w:szCs w:val="28"/>
        </w:rPr>
        <w:t xml:space="preserve">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w:t>
      </w:r>
      <w:r>
        <w:rPr>
          <w:rFonts w:cs="Times New Roman"/>
          <w:sz w:val="28"/>
          <w:szCs w:val="28"/>
        </w:rPr>
        <w:t>у</w:t>
      </w:r>
      <w:r>
        <w:rPr>
          <w:rFonts w:cs="Times New Roman"/>
          <w:sz w:val="28"/>
          <w:szCs w:val="28"/>
        </w:rPr>
        <w:t>ниципального имущества и земельных отношений администрации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t xml:space="preserve">сийской Федерации перечень государств и территорий, предоставляющих </w:t>
      </w:r>
      <w:r w:rsidRPr="00D06799">
        <w:rPr>
          <w:rFonts w:eastAsiaTheme="minorHAnsi" w:cs="Times New Roman"/>
          <w:sz w:val="28"/>
          <w:szCs w:val="28"/>
          <w:lang w:eastAsia="en-US"/>
        </w:rPr>
        <w:lastRenderedPageBreak/>
        <w:t>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w:t>
      </w:r>
      <w:proofErr w:type="gramEnd"/>
      <w:r w:rsidRPr="00D06799">
        <w:rPr>
          <w:rFonts w:eastAsiaTheme="minorHAnsi" w:cs="Times New Roman"/>
          <w:sz w:val="28"/>
          <w:szCs w:val="28"/>
          <w:lang w:eastAsia="en-US"/>
        </w:rPr>
        <w:t xml:space="preserve">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A95CED"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назначенные на</w:t>
      </w:r>
      <w:r>
        <w:rPr>
          <w:rFonts w:cs="Times New Roman"/>
          <w:sz w:val="28"/>
          <w:szCs w:val="28"/>
        </w:rPr>
        <w:t xml:space="preserve"> </w:t>
      </w:r>
      <w:r w:rsidR="005B7606">
        <w:rPr>
          <w:rFonts w:cs="Times New Roman"/>
          <w:color w:val="000000"/>
          <w:sz w:val="28"/>
          <w:szCs w:val="28"/>
        </w:rPr>
        <w:t>07.08.2017, 05.10.2017, 08.11.2017</w:t>
      </w:r>
      <w:r>
        <w:rPr>
          <w:rFonts w:cs="Times New Roman"/>
          <w:sz w:val="28"/>
          <w:szCs w:val="28"/>
        </w:rPr>
        <w:t>, 06.06.2018,</w:t>
      </w:r>
      <w:r w:rsidRPr="005B5F97">
        <w:rPr>
          <w:rFonts w:cs="Times New Roman"/>
          <w:sz w:val="28"/>
          <w:szCs w:val="28"/>
        </w:rPr>
        <w:t xml:space="preserve"> признаны несостоявшимися в</w:t>
      </w:r>
      <w:r>
        <w:rPr>
          <w:rFonts w:cs="Times New Roman"/>
          <w:sz w:val="28"/>
          <w:szCs w:val="28"/>
        </w:rPr>
        <w:t xml:space="preserve"> связи с отсутствием участников</w:t>
      </w:r>
      <w:r w:rsidR="0046080A">
        <w:rPr>
          <w:rFonts w:cs="Times New Roman"/>
          <w:sz w:val="28"/>
          <w:szCs w:val="28"/>
        </w:rPr>
        <w:t>.</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6C33B0" w:rsidRDefault="006C33B0" w:rsidP="006C33B0">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6C33B0" w:rsidRPr="00B15428" w:rsidRDefault="006C33B0" w:rsidP="006C33B0">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A95CED" w:rsidRDefault="00A95CED" w:rsidP="000A4F00">
      <w:pPr>
        <w:jc w:val="right"/>
      </w:pPr>
    </w:p>
    <w:p w:rsidR="005B7606" w:rsidRDefault="005B7606" w:rsidP="000A4F00">
      <w:pPr>
        <w:jc w:val="right"/>
      </w:pPr>
    </w:p>
    <w:p w:rsidR="005B7606" w:rsidRDefault="005B7606" w:rsidP="000A4F00">
      <w:pPr>
        <w:jc w:val="right"/>
      </w:pPr>
    </w:p>
    <w:p w:rsidR="005B7606" w:rsidRDefault="005B7606" w:rsidP="000A4F00">
      <w:pPr>
        <w:jc w:val="right"/>
      </w:pPr>
    </w:p>
    <w:p w:rsidR="005B7606" w:rsidRDefault="005B7606" w:rsidP="000A4F00">
      <w:pPr>
        <w:jc w:val="right"/>
      </w:pPr>
    </w:p>
    <w:p w:rsidR="005B7606" w:rsidRDefault="005B7606" w:rsidP="000A4F00">
      <w:pPr>
        <w:jc w:val="right"/>
      </w:pPr>
    </w:p>
    <w:p w:rsidR="005B7606" w:rsidRDefault="005B7606" w:rsidP="000A4F00">
      <w:pPr>
        <w:jc w:val="right"/>
      </w:pPr>
    </w:p>
    <w:p w:rsidR="005B7606" w:rsidRDefault="005B7606"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5F0463">
      <w:headerReference w:type="default" r:id="rId11"/>
      <w:pgSz w:w="11906" w:h="16838"/>
      <w:pgMar w:top="567" w:right="851" w:bottom="567" w:left="1701" w:header="709"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EB" w:rsidRDefault="007051EB" w:rsidP="00461F43">
      <w:r>
        <w:separator/>
      </w:r>
    </w:p>
  </w:endnote>
  <w:endnote w:type="continuationSeparator" w:id="0">
    <w:p w:rsidR="007051EB" w:rsidRDefault="007051EB"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EB" w:rsidRDefault="007051EB" w:rsidP="00461F43">
      <w:r>
        <w:separator/>
      </w:r>
    </w:p>
  </w:footnote>
  <w:footnote w:type="continuationSeparator" w:id="0">
    <w:p w:rsidR="007051EB" w:rsidRDefault="007051EB"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101E1E">
          <w:rPr>
            <w:noProof/>
          </w:rPr>
          <w:t>50</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1E1E"/>
    <w:rsid w:val="00105DCC"/>
    <w:rsid w:val="00115943"/>
    <w:rsid w:val="00132E49"/>
    <w:rsid w:val="0014433D"/>
    <w:rsid w:val="001B6FD8"/>
    <w:rsid w:val="002039AB"/>
    <w:rsid w:val="00233BC8"/>
    <w:rsid w:val="002358F7"/>
    <w:rsid w:val="002475CC"/>
    <w:rsid w:val="0027209A"/>
    <w:rsid w:val="00285938"/>
    <w:rsid w:val="002A47AF"/>
    <w:rsid w:val="002E222E"/>
    <w:rsid w:val="002E3F5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5F0463"/>
    <w:rsid w:val="00635E44"/>
    <w:rsid w:val="00640D9C"/>
    <w:rsid w:val="006537F2"/>
    <w:rsid w:val="00654449"/>
    <w:rsid w:val="00675E47"/>
    <w:rsid w:val="0069443D"/>
    <w:rsid w:val="0069448F"/>
    <w:rsid w:val="006B761A"/>
    <w:rsid w:val="006C33B0"/>
    <w:rsid w:val="006D14C9"/>
    <w:rsid w:val="007051EB"/>
    <w:rsid w:val="00723ACD"/>
    <w:rsid w:val="0072601C"/>
    <w:rsid w:val="00740D08"/>
    <w:rsid w:val="00755D75"/>
    <w:rsid w:val="0077260C"/>
    <w:rsid w:val="007B1C34"/>
    <w:rsid w:val="007C0E2F"/>
    <w:rsid w:val="007C5BE4"/>
    <w:rsid w:val="007E4158"/>
    <w:rsid w:val="007F21E4"/>
    <w:rsid w:val="007F2A0B"/>
    <w:rsid w:val="00803CDF"/>
    <w:rsid w:val="00806B49"/>
    <w:rsid w:val="008217C4"/>
    <w:rsid w:val="00832427"/>
    <w:rsid w:val="00862635"/>
    <w:rsid w:val="008852B5"/>
    <w:rsid w:val="00892959"/>
    <w:rsid w:val="00893D88"/>
    <w:rsid w:val="00896FBE"/>
    <w:rsid w:val="008D7826"/>
    <w:rsid w:val="008F0D50"/>
    <w:rsid w:val="00925010"/>
    <w:rsid w:val="00925D2C"/>
    <w:rsid w:val="009271A7"/>
    <w:rsid w:val="00931549"/>
    <w:rsid w:val="0093460D"/>
    <w:rsid w:val="009652FA"/>
    <w:rsid w:val="00966327"/>
    <w:rsid w:val="009C3B9A"/>
    <w:rsid w:val="009C6A7F"/>
    <w:rsid w:val="009E3FA2"/>
    <w:rsid w:val="009F2687"/>
    <w:rsid w:val="009F544A"/>
    <w:rsid w:val="00A469CA"/>
    <w:rsid w:val="00A53B37"/>
    <w:rsid w:val="00A546F7"/>
    <w:rsid w:val="00A7310D"/>
    <w:rsid w:val="00A95CED"/>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2739"/>
    <w:rsid w:val="00E25A17"/>
    <w:rsid w:val="00E556A4"/>
    <w:rsid w:val="00E64B4D"/>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97CFF5-C49D-4752-BBDA-86E8C43ED1B6}"/>
</file>

<file path=customXml/itemProps2.xml><?xml version="1.0" encoding="utf-8"?>
<ds:datastoreItem xmlns:ds="http://schemas.openxmlformats.org/officeDocument/2006/customXml" ds:itemID="{C9F060D9-C048-4F81-A20E-63CB6D6D32E3}"/>
</file>

<file path=customXml/itemProps3.xml><?xml version="1.0" encoding="utf-8"?>
<ds:datastoreItem xmlns:ds="http://schemas.openxmlformats.org/officeDocument/2006/customXml" ds:itemID="{7D26E306-B661-4E66-9B78-A4B40DE55E04}"/>
</file>

<file path=customXml/itemProps4.xml><?xml version="1.0" encoding="utf-8"?>
<ds:datastoreItem xmlns:ds="http://schemas.openxmlformats.org/officeDocument/2006/customXml" ds:itemID="{665D86B5-72A5-4E1C-9A7A-721B4393E255}"/>
</file>

<file path=docProps/app.xml><?xml version="1.0" encoding="utf-8"?>
<Properties xmlns="http://schemas.openxmlformats.org/officeDocument/2006/extended-properties" xmlns:vt="http://schemas.openxmlformats.org/officeDocument/2006/docPropsVTypes">
  <Template>Normal.dotm</Template>
  <TotalTime>452</TotalTime>
  <Pages>1</Pages>
  <Words>3583</Words>
  <Characters>20427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Мингазова Кристина Рамильевна</cp:lastModifiedBy>
  <cp:revision>60</cp:revision>
  <cp:lastPrinted>2017-06-22T04:44:00Z</cp:lastPrinted>
  <dcterms:created xsi:type="dcterms:W3CDTF">2016-11-17T10:08:00Z</dcterms:created>
  <dcterms:modified xsi:type="dcterms:W3CDTF">2018-07-06T08:55:00Z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